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5"/>
        <w:tblpPr w:leftFromText="180" w:rightFromText="180" w:vertAnchor="page" w:horzAnchor="margin" w:tblpXSpec="center" w:tblpY="2084"/>
        <w:tblW w:w="10490" w:type="dxa"/>
        <w:tblLook w:val="04A0"/>
      </w:tblPr>
      <w:tblGrid>
        <w:gridCol w:w="1560"/>
        <w:gridCol w:w="1667"/>
        <w:gridCol w:w="2126"/>
        <w:gridCol w:w="5137"/>
      </w:tblGrid>
      <w:tr w:rsidR="004968EF" w:rsidRPr="007723B4" w:rsidTr="007723B4">
        <w:trPr>
          <w:cnfStyle w:val="100000000000"/>
        </w:trPr>
        <w:tc>
          <w:tcPr>
            <w:cnfStyle w:val="001000000100"/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6B7D25" w:rsidRPr="00771DDC" w:rsidRDefault="0075718E" w:rsidP="007723B4">
            <w:pPr>
              <w:ind w:left="0"/>
              <w:rPr>
                <w:sz w:val="18"/>
              </w:rPr>
            </w:pPr>
            <w:r w:rsidRPr="00771DDC">
              <w:rPr>
                <w:sz w:val="18"/>
              </w:rPr>
              <w:t xml:space="preserve">VSM </w:t>
            </w:r>
            <w:r w:rsidR="006B7D25" w:rsidRPr="00771DDC">
              <w:rPr>
                <w:sz w:val="18"/>
              </w:rPr>
              <w:t>System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</w:tcPr>
          <w:p w:rsidR="006B7D25" w:rsidRPr="00771DDC" w:rsidRDefault="0075718E" w:rsidP="007723B4">
            <w:pPr>
              <w:ind w:left="0"/>
              <w:jc w:val="center"/>
              <w:cnfStyle w:val="100000000000"/>
              <w:rPr>
                <w:sz w:val="18"/>
              </w:rPr>
            </w:pPr>
            <w:r w:rsidRPr="00771DDC">
              <w:rPr>
                <w:sz w:val="18"/>
              </w:rPr>
              <w:t xml:space="preserve">Learning </w:t>
            </w:r>
            <w:r w:rsidR="006B7D25" w:rsidRPr="00771DDC">
              <w:rPr>
                <w:sz w:val="18"/>
              </w:rPr>
              <w:t>Processes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B7D25" w:rsidRPr="00771DDC" w:rsidRDefault="00A153A9" w:rsidP="007723B4">
            <w:pPr>
              <w:ind w:left="0"/>
              <w:jc w:val="center"/>
              <w:cnfStyle w:val="100000000000"/>
              <w:rPr>
                <w:sz w:val="18"/>
              </w:rPr>
            </w:pPr>
            <w:r w:rsidRPr="00771DDC">
              <w:rPr>
                <w:sz w:val="18"/>
              </w:rPr>
              <w:t>Blogging*</w:t>
            </w:r>
            <w:r w:rsidR="0075718E" w:rsidRPr="00771DDC">
              <w:rPr>
                <w:sz w:val="18"/>
              </w:rPr>
              <w:t xml:space="preserve"> </w:t>
            </w:r>
            <w:r w:rsidR="006B7D25" w:rsidRPr="00771DDC">
              <w:rPr>
                <w:sz w:val="18"/>
              </w:rPr>
              <w:t>Activities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100000000000"/>
              <w:rPr>
                <w:sz w:val="18"/>
              </w:rPr>
            </w:pPr>
            <w:r w:rsidRPr="00771DDC">
              <w:rPr>
                <w:sz w:val="18"/>
              </w:rPr>
              <w:t>Description</w:t>
            </w:r>
            <w:r w:rsidR="00172521" w:rsidRPr="00771DDC">
              <w:rPr>
                <w:sz w:val="18"/>
              </w:rPr>
              <w:t xml:space="preserve"> </w:t>
            </w:r>
          </w:p>
        </w:tc>
      </w:tr>
      <w:tr w:rsidR="00FF5CF6" w:rsidRPr="007723B4" w:rsidTr="007723B4">
        <w:trPr>
          <w:cnfStyle w:val="000000100000"/>
          <w:trHeight w:val="237"/>
        </w:trPr>
        <w:tc>
          <w:tcPr>
            <w:cnfStyle w:val="001000000000"/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D25" w:rsidRPr="00771DDC" w:rsidRDefault="006B7D25" w:rsidP="007723B4">
            <w:pPr>
              <w:ind w:left="0"/>
              <w:jc w:val="center"/>
              <w:rPr>
                <w:sz w:val="18"/>
              </w:rPr>
            </w:pPr>
            <w:r w:rsidRPr="00771DDC">
              <w:rPr>
                <w:sz w:val="18"/>
              </w:rPr>
              <w:t>Adjusting</w:t>
            </w:r>
          </w:p>
          <w:p w:rsidR="00D9717C" w:rsidRPr="00771DDC" w:rsidRDefault="00D9717C" w:rsidP="00DF4954">
            <w:pPr>
              <w:ind w:left="0"/>
              <w:jc w:val="center"/>
              <w:rPr>
                <w:sz w:val="18"/>
              </w:rPr>
            </w:pPr>
            <w:r w:rsidRPr="00771DDC">
              <w:rPr>
                <w:sz w:val="18"/>
              </w:rPr>
              <w:t>(within cohort</w:t>
            </w:r>
            <w:r w:rsidR="0075718E" w:rsidRPr="00771DDC">
              <w:rPr>
                <w:sz w:val="18"/>
              </w:rPr>
              <w:t>)</w:t>
            </w:r>
          </w:p>
        </w:tc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  <w:vAlign w:val="center"/>
          </w:tcPr>
          <w:p w:rsidR="006B7D25" w:rsidRPr="00771DDC" w:rsidRDefault="006B7D25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Knowledge Construction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</w:p>
          <w:p w:rsidR="006B7D25" w:rsidRPr="00771DDC" w:rsidRDefault="006B7D25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Berry Picking</w:t>
            </w:r>
          </w:p>
        </w:tc>
        <w:tc>
          <w:tcPr>
            <w:tcW w:w="51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136ADC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involve i</w:t>
            </w:r>
            <w:r w:rsidR="006B7D25" w:rsidRPr="00771DDC">
              <w:rPr>
                <w:b/>
                <w:sz w:val="18"/>
              </w:rPr>
              <w:t>dentify</w:t>
            </w:r>
            <w:r w:rsidR="00172521" w:rsidRPr="00771DDC">
              <w:rPr>
                <w:b/>
                <w:sz w:val="18"/>
              </w:rPr>
              <w:t>ing, evaluating</w:t>
            </w:r>
            <w:r w:rsidR="006B7D25" w:rsidRPr="00771DDC">
              <w:rPr>
                <w:b/>
                <w:sz w:val="18"/>
              </w:rPr>
              <w:t xml:space="preserve"> and select</w:t>
            </w:r>
            <w:r w:rsidR="00172521" w:rsidRPr="00771DDC">
              <w:rPr>
                <w:b/>
                <w:sz w:val="18"/>
              </w:rPr>
              <w:t>ing</w:t>
            </w:r>
            <w:r w:rsidR="006B7D25" w:rsidRPr="00771DDC">
              <w:rPr>
                <w:b/>
                <w:sz w:val="18"/>
              </w:rPr>
              <w:t xml:space="preserve"> resources; collecti</w:t>
            </w:r>
            <w:r w:rsidR="00172521" w:rsidRPr="00771DDC">
              <w:rPr>
                <w:b/>
                <w:sz w:val="18"/>
              </w:rPr>
              <w:t>ng</w:t>
            </w:r>
            <w:r w:rsidR="006B7D25" w:rsidRPr="00771DDC">
              <w:rPr>
                <w:b/>
                <w:sz w:val="18"/>
              </w:rPr>
              <w:t xml:space="preserve"> ideas, links, and references</w:t>
            </w:r>
            <w:r w:rsidR="004E2B60" w:rsidRPr="00771DDC">
              <w:rPr>
                <w:b/>
                <w:sz w:val="18"/>
              </w:rPr>
              <w:t>;</w:t>
            </w:r>
            <w:r w:rsidR="00172521" w:rsidRPr="00771DDC">
              <w:rPr>
                <w:b/>
                <w:sz w:val="18"/>
              </w:rPr>
              <w:t xml:space="preserve"> creating</w:t>
            </w:r>
            <w:r w:rsidR="00D9717C" w:rsidRPr="00771DDC">
              <w:rPr>
                <w:b/>
                <w:sz w:val="18"/>
              </w:rPr>
              <w:t xml:space="preserve"> annotated bookmarks within Delicious, add</w:t>
            </w:r>
            <w:r w:rsidR="00172521" w:rsidRPr="00771DDC">
              <w:rPr>
                <w:b/>
                <w:sz w:val="18"/>
              </w:rPr>
              <w:t>ing</w:t>
            </w:r>
            <w:r w:rsidR="00D9717C" w:rsidRPr="00771DDC">
              <w:rPr>
                <w:b/>
                <w:sz w:val="18"/>
              </w:rPr>
              <w:t xml:space="preserve"> annotated bookmarks to profile page; </w:t>
            </w:r>
          </w:p>
          <w:p w:rsidR="007723B4" w:rsidRPr="00771DDC" w:rsidRDefault="007723B4" w:rsidP="007723B4">
            <w:pPr>
              <w:ind w:left="0"/>
              <w:cnfStyle w:val="000000100000"/>
              <w:rPr>
                <w:b/>
                <w:sz w:val="18"/>
              </w:rPr>
            </w:pPr>
          </w:p>
        </w:tc>
      </w:tr>
      <w:tr w:rsidR="007723B4" w:rsidRPr="007723B4" w:rsidTr="007723B4">
        <w:trPr>
          <w:trHeight w:val="234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717C" w:rsidRPr="00771DDC" w:rsidRDefault="00D9717C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D9717C" w:rsidRPr="00771DDC" w:rsidRDefault="00D9717C" w:rsidP="007723B4">
            <w:pPr>
              <w:ind w:left="0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717C" w:rsidRPr="00771DDC" w:rsidRDefault="00D9717C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Jigging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717C" w:rsidRPr="00771DDC" w:rsidRDefault="00136ADC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describe personal</w:t>
            </w:r>
            <w:r w:rsidR="00D9717C" w:rsidRPr="00771DDC">
              <w:rPr>
                <w:b/>
                <w:sz w:val="18"/>
              </w:rPr>
              <w:t xml:space="preserve"> strategies and experiences while tapping into data streams such as Twitter feeds, network wire feeds, network activity streams, </w:t>
            </w:r>
            <w:r w:rsidRPr="00771DDC">
              <w:rPr>
                <w:b/>
                <w:sz w:val="18"/>
              </w:rPr>
              <w:t xml:space="preserve">and </w:t>
            </w:r>
            <w:r w:rsidR="00D9717C" w:rsidRPr="00771DDC">
              <w:rPr>
                <w:b/>
                <w:sz w:val="18"/>
              </w:rPr>
              <w:t xml:space="preserve">use of email alerts and RSS feeds; </w:t>
            </w:r>
          </w:p>
          <w:p w:rsidR="007723B4" w:rsidRPr="00771DDC" w:rsidRDefault="007723B4" w:rsidP="007723B4">
            <w:pPr>
              <w:ind w:left="0"/>
              <w:cnfStyle w:val="000000000000"/>
              <w:rPr>
                <w:b/>
                <w:sz w:val="18"/>
              </w:rPr>
            </w:pPr>
          </w:p>
        </w:tc>
      </w:tr>
      <w:tr w:rsidR="00FF5CF6" w:rsidRPr="007723B4" w:rsidTr="007723B4">
        <w:trPr>
          <w:cnfStyle w:val="000000100000"/>
          <w:trHeight w:val="234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6B7D25" w:rsidRPr="00771DDC" w:rsidRDefault="006B7D25" w:rsidP="007723B4">
            <w:pPr>
              <w:ind w:left="0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Piling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136ADC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detail decisions for c</w:t>
            </w:r>
            <w:r w:rsidR="006B7D25" w:rsidRPr="00771DDC">
              <w:rPr>
                <w:b/>
                <w:sz w:val="18"/>
              </w:rPr>
              <w:t>lassifying posts</w:t>
            </w:r>
            <w:r w:rsidRPr="00771DDC">
              <w:rPr>
                <w:b/>
                <w:sz w:val="18"/>
              </w:rPr>
              <w:t xml:space="preserve"> using Tags</w:t>
            </w:r>
            <w:r w:rsidR="006B7D25" w:rsidRPr="00771DDC">
              <w:rPr>
                <w:b/>
                <w:sz w:val="18"/>
              </w:rPr>
              <w:t>, categorizing posts, adding tags, keywords</w:t>
            </w:r>
            <w:r w:rsidR="004E2B60" w:rsidRPr="00771DDC">
              <w:rPr>
                <w:b/>
                <w:sz w:val="18"/>
              </w:rPr>
              <w:t xml:space="preserve">, </w:t>
            </w:r>
            <w:r w:rsidRPr="00771DDC">
              <w:rPr>
                <w:b/>
                <w:sz w:val="18"/>
              </w:rPr>
              <w:t xml:space="preserve">and reasons for </w:t>
            </w:r>
            <w:r w:rsidR="004E2B60" w:rsidRPr="00771DDC">
              <w:rPr>
                <w:b/>
                <w:sz w:val="18"/>
              </w:rPr>
              <w:t xml:space="preserve">culling and revising tags; </w:t>
            </w:r>
            <w:r w:rsidRPr="00771DDC">
              <w:rPr>
                <w:b/>
                <w:sz w:val="18"/>
              </w:rPr>
              <w:t xml:space="preserve"> impressions of Tag Clouds of own and others’ blogs;</w:t>
            </w:r>
          </w:p>
          <w:p w:rsidR="007723B4" w:rsidRPr="00771DDC" w:rsidRDefault="007723B4" w:rsidP="007723B4">
            <w:pPr>
              <w:ind w:left="0"/>
              <w:cnfStyle w:val="000000100000"/>
              <w:rPr>
                <w:b/>
                <w:sz w:val="18"/>
              </w:rPr>
            </w:pPr>
          </w:p>
        </w:tc>
      </w:tr>
      <w:tr w:rsidR="00FF5CF6" w:rsidRPr="007723B4" w:rsidTr="007723B4">
        <w:trPr>
          <w:trHeight w:val="234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6B7D25" w:rsidRPr="00771DDC" w:rsidRDefault="006B7D25" w:rsidP="007723B4">
            <w:pPr>
              <w:ind w:left="0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Weaving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136ADC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demonstrate s</w:t>
            </w:r>
            <w:r w:rsidR="006B7D25" w:rsidRPr="00771DDC">
              <w:rPr>
                <w:b/>
                <w:sz w:val="18"/>
              </w:rPr>
              <w:t xml:space="preserve">ummarizing </w:t>
            </w:r>
            <w:r w:rsidRPr="00771DDC">
              <w:rPr>
                <w:b/>
                <w:sz w:val="18"/>
              </w:rPr>
              <w:t xml:space="preserve">of </w:t>
            </w:r>
            <w:r w:rsidR="006B7D25" w:rsidRPr="00771DDC">
              <w:rPr>
                <w:b/>
                <w:sz w:val="18"/>
              </w:rPr>
              <w:t>content, embedding links into posts; adding quotes and citing sources</w:t>
            </w:r>
            <w:r w:rsidRPr="00771DDC">
              <w:rPr>
                <w:b/>
                <w:sz w:val="18"/>
              </w:rPr>
              <w:t xml:space="preserve"> from others’ posts, articles, web sites, podcasts and other multi-media resources</w:t>
            </w:r>
          </w:p>
          <w:p w:rsidR="007723B4" w:rsidRPr="00771DDC" w:rsidRDefault="007723B4" w:rsidP="007723B4">
            <w:pPr>
              <w:ind w:left="0"/>
              <w:cnfStyle w:val="000000000000"/>
              <w:rPr>
                <w:b/>
                <w:sz w:val="18"/>
              </w:rPr>
            </w:pPr>
          </w:p>
        </w:tc>
      </w:tr>
      <w:tr w:rsidR="00410C0C" w:rsidRPr="007723B4" w:rsidTr="007723B4">
        <w:trPr>
          <w:cnfStyle w:val="000000100000"/>
          <w:trHeight w:val="234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E2B60" w:rsidRPr="00771DDC" w:rsidRDefault="004E2B60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4E2B60" w:rsidRPr="00771DDC" w:rsidRDefault="004E2B60" w:rsidP="007723B4">
            <w:pPr>
              <w:ind w:left="0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2B60" w:rsidRPr="00771DDC" w:rsidRDefault="004E2B60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Texturing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2B60" w:rsidRPr="00771DDC" w:rsidRDefault="00136ADC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explain s</w:t>
            </w:r>
            <w:r w:rsidR="004E2B60" w:rsidRPr="00771DDC">
              <w:rPr>
                <w:b/>
                <w:sz w:val="18"/>
              </w:rPr>
              <w:t xml:space="preserve">trategies for </w:t>
            </w:r>
            <w:r w:rsidR="001563DD" w:rsidRPr="00771DDC">
              <w:rPr>
                <w:b/>
                <w:sz w:val="18"/>
              </w:rPr>
              <w:t xml:space="preserve">tracking </w:t>
            </w:r>
            <w:r w:rsidR="004E2B60" w:rsidRPr="00771DDC">
              <w:rPr>
                <w:b/>
                <w:sz w:val="18"/>
              </w:rPr>
              <w:t>switch</w:t>
            </w:r>
            <w:r w:rsidR="001563DD" w:rsidRPr="00771DDC">
              <w:rPr>
                <w:b/>
                <w:sz w:val="18"/>
              </w:rPr>
              <w:t>es of</w:t>
            </w:r>
            <w:r w:rsidR="004E2B60" w:rsidRPr="00771DDC">
              <w:rPr>
                <w:b/>
                <w:sz w:val="18"/>
              </w:rPr>
              <w:t xml:space="preserve"> narrative tone, voice and register; engage</w:t>
            </w:r>
            <w:r w:rsidR="001563DD" w:rsidRPr="00771DDC">
              <w:rPr>
                <w:b/>
                <w:sz w:val="18"/>
              </w:rPr>
              <w:t>s</w:t>
            </w:r>
            <w:r w:rsidR="004E2B60" w:rsidRPr="00771DDC">
              <w:rPr>
                <w:b/>
                <w:sz w:val="18"/>
              </w:rPr>
              <w:t xml:space="preserve"> and address</w:t>
            </w:r>
            <w:r w:rsidR="001563DD" w:rsidRPr="00771DDC">
              <w:rPr>
                <w:b/>
                <w:sz w:val="18"/>
              </w:rPr>
              <w:t>es</w:t>
            </w:r>
            <w:r w:rsidR="004E2B60" w:rsidRPr="00771DDC">
              <w:rPr>
                <w:b/>
                <w:sz w:val="18"/>
              </w:rPr>
              <w:t xml:space="preserve"> multiple audiences; provide</w:t>
            </w:r>
            <w:r w:rsidR="001563DD" w:rsidRPr="00771DDC">
              <w:rPr>
                <w:b/>
                <w:sz w:val="18"/>
              </w:rPr>
              <w:t>s</w:t>
            </w:r>
            <w:r w:rsidR="004E2B60" w:rsidRPr="00771DDC">
              <w:rPr>
                <w:b/>
                <w:sz w:val="18"/>
              </w:rPr>
              <w:t xml:space="preserve"> textual cues</w:t>
            </w:r>
            <w:r w:rsidR="001563DD" w:rsidRPr="00771DDC">
              <w:rPr>
                <w:b/>
                <w:sz w:val="18"/>
              </w:rPr>
              <w:t xml:space="preserve"> such as</w:t>
            </w:r>
            <w:r w:rsidR="004E2B60" w:rsidRPr="00771DDC">
              <w:rPr>
                <w:b/>
                <w:sz w:val="18"/>
              </w:rPr>
              <w:t xml:space="preserve"> highlighting, fo</w:t>
            </w:r>
            <w:r w:rsidR="001E569B" w:rsidRPr="00771DDC">
              <w:rPr>
                <w:b/>
                <w:sz w:val="18"/>
              </w:rPr>
              <w:t>nt changes, colo</w:t>
            </w:r>
            <w:r w:rsidR="004E2B60" w:rsidRPr="00771DDC">
              <w:rPr>
                <w:b/>
                <w:sz w:val="18"/>
              </w:rPr>
              <w:t>r-coding, meta-commenting, and layering</w:t>
            </w:r>
            <w:r w:rsidR="001563DD" w:rsidRPr="00771DDC">
              <w:rPr>
                <w:b/>
                <w:sz w:val="18"/>
              </w:rPr>
              <w:t xml:space="preserve"> (multiple revisions, comments interspersed with updated links and content)</w:t>
            </w:r>
          </w:p>
          <w:p w:rsidR="007723B4" w:rsidRPr="00771DDC" w:rsidRDefault="007723B4" w:rsidP="007723B4">
            <w:pPr>
              <w:ind w:left="0"/>
              <w:cnfStyle w:val="000000100000"/>
              <w:rPr>
                <w:b/>
                <w:sz w:val="18"/>
              </w:rPr>
            </w:pPr>
          </w:p>
        </w:tc>
      </w:tr>
      <w:tr w:rsidR="00FF5CF6" w:rsidRPr="007723B4" w:rsidTr="007723B4">
        <w:trPr>
          <w:trHeight w:val="234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6B7D25" w:rsidRPr="00771DDC" w:rsidRDefault="006B7D25" w:rsidP="007723B4">
            <w:pPr>
              <w:ind w:left="0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Path-Finding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136ADC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describe</w:t>
            </w:r>
            <w:r w:rsidR="004E2B60" w:rsidRPr="00771DDC">
              <w:rPr>
                <w:b/>
                <w:sz w:val="18"/>
              </w:rPr>
              <w:t xml:space="preserve"> activities surrounding searching for, evaluating, </w:t>
            </w:r>
            <w:r w:rsidR="006B7D25" w:rsidRPr="00771DDC">
              <w:rPr>
                <w:b/>
                <w:sz w:val="18"/>
              </w:rPr>
              <w:t xml:space="preserve">identifying and selecting </w:t>
            </w:r>
            <w:r w:rsidR="004E2B60" w:rsidRPr="00771DDC">
              <w:rPr>
                <w:b/>
                <w:sz w:val="18"/>
              </w:rPr>
              <w:t xml:space="preserve">online </w:t>
            </w:r>
            <w:r w:rsidR="006B7D25" w:rsidRPr="00771DDC">
              <w:rPr>
                <w:b/>
                <w:sz w:val="18"/>
              </w:rPr>
              <w:t>tools</w:t>
            </w:r>
            <w:r w:rsidR="004E2B60" w:rsidRPr="00771DDC">
              <w:rPr>
                <w:b/>
                <w:sz w:val="18"/>
              </w:rPr>
              <w:t>, experts, and resources</w:t>
            </w:r>
            <w:r w:rsidR="00D5610F" w:rsidRPr="00771DDC">
              <w:rPr>
                <w:b/>
                <w:sz w:val="18"/>
              </w:rPr>
              <w:t xml:space="preserve"> (hit-miss experiences)</w:t>
            </w:r>
          </w:p>
          <w:p w:rsidR="007723B4" w:rsidRPr="00771DDC" w:rsidRDefault="007723B4" w:rsidP="007723B4">
            <w:pPr>
              <w:ind w:left="0"/>
              <w:cnfStyle w:val="000000000000"/>
              <w:rPr>
                <w:b/>
                <w:sz w:val="18"/>
              </w:rPr>
            </w:pPr>
          </w:p>
        </w:tc>
      </w:tr>
      <w:tr w:rsidR="00FF5CF6" w:rsidRPr="007723B4" w:rsidTr="007723B4">
        <w:trPr>
          <w:cnfStyle w:val="000000100000"/>
          <w:trHeight w:val="234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6B7D25" w:rsidRPr="00771DDC" w:rsidRDefault="006B7D25" w:rsidP="007723B4">
            <w:pPr>
              <w:ind w:left="0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Path-Making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1273DE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 xml:space="preserve">Blog posts that describe </w:t>
            </w:r>
            <w:r w:rsidR="00D5610F" w:rsidRPr="00771DDC">
              <w:rPr>
                <w:b/>
                <w:sz w:val="18"/>
              </w:rPr>
              <w:t xml:space="preserve">strategies (what works, most promising practices) used for search and </w:t>
            </w:r>
            <w:r w:rsidR="006B7D25" w:rsidRPr="00771DDC">
              <w:rPr>
                <w:b/>
                <w:sz w:val="18"/>
              </w:rPr>
              <w:t>collection routines for using search tools/portals</w:t>
            </w:r>
            <w:r w:rsidRPr="00771DDC">
              <w:rPr>
                <w:b/>
                <w:sz w:val="18"/>
              </w:rPr>
              <w:t>; posts that review others’ posts that describe path-making activities</w:t>
            </w:r>
          </w:p>
          <w:p w:rsidR="007723B4" w:rsidRPr="00771DDC" w:rsidRDefault="007723B4" w:rsidP="007723B4">
            <w:pPr>
              <w:ind w:left="0"/>
              <w:cnfStyle w:val="000000100000"/>
              <w:rPr>
                <w:b/>
                <w:sz w:val="18"/>
              </w:rPr>
            </w:pPr>
          </w:p>
        </w:tc>
      </w:tr>
      <w:tr w:rsidR="00FF5CF6" w:rsidRPr="007723B4" w:rsidTr="007723B4">
        <w:trPr>
          <w:trHeight w:val="234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6B7D25" w:rsidRPr="00771DDC" w:rsidRDefault="006B7D25" w:rsidP="007723B4">
            <w:pPr>
              <w:ind w:left="0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Sense-Making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1273DE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engage in self-talk, rehearsals, or pause-points, or involve</w:t>
            </w:r>
            <w:r w:rsidR="006B7D25" w:rsidRPr="00771DDC">
              <w:rPr>
                <w:b/>
                <w:sz w:val="18"/>
              </w:rPr>
              <w:t xml:space="preserve"> pulling ideas into coherent framework</w:t>
            </w:r>
            <w:r w:rsidR="004E2B60" w:rsidRPr="00771DDC">
              <w:rPr>
                <w:b/>
                <w:sz w:val="18"/>
              </w:rPr>
              <w:t>s such as schemas</w:t>
            </w:r>
            <w:r w:rsidRPr="00771DDC">
              <w:rPr>
                <w:b/>
                <w:sz w:val="18"/>
              </w:rPr>
              <w:t xml:space="preserve"> and typologies</w:t>
            </w:r>
            <w:r w:rsidR="006B7D25" w:rsidRPr="00771DDC">
              <w:rPr>
                <w:b/>
                <w:sz w:val="18"/>
              </w:rPr>
              <w:t xml:space="preserve">; </w:t>
            </w:r>
            <w:r w:rsidRPr="00771DDC">
              <w:rPr>
                <w:b/>
                <w:sz w:val="18"/>
              </w:rPr>
              <w:t xml:space="preserve">posts that involve </w:t>
            </w:r>
            <w:r w:rsidR="006B7D25" w:rsidRPr="00771DDC">
              <w:rPr>
                <w:b/>
                <w:sz w:val="18"/>
              </w:rPr>
              <w:t>elaboration, evaluation</w:t>
            </w:r>
            <w:r w:rsidRPr="00771DDC">
              <w:rPr>
                <w:b/>
                <w:sz w:val="18"/>
              </w:rPr>
              <w:t>,</w:t>
            </w:r>
            <w:r w:rsidR="006B7D25" w:rsidRPr="00771DDC">
              <w:rPr>
                <w:b/>
                <w:sz w:val="18"/>
              </w:rPr>
              <w:t xml:space="preserve"> </w:t>
            </w:r>
            <w:r w:rsidRPr="00771DDC">
              <w:rPr>
                <w:b/>
                <w:sz w:val="18"/>
              </w:rPr>
              <w:t>and analysis of</w:t>
            </w:r>
            <w:r w:rsidR="006B7D25" w:rsidRPr="00771DDC">
              <w:rPr>
                <w:b/>
                <w:sz w:val="18"/>
              </w:rPr>
              <w:t xml:space="preserve"> ideas and concepts; </w:t>
            </w:r>
          </w:p>
          <w:p w:rsidR="007723B4" w:rsidRPr="00771DDC" w:rsidRDefault="007723B4" w:rsidP="007723B4">
            <w:pPr>
              <w:ind w:left="0"/>
              <w:cnfStyle w:val="000000000000"/>
              <w:rPr>
                <w:b/>
                <w:sz w:val="18"/>
              </w:rPr>
            </w:pPr>
          </w:p>
        </w:tc>
      </w:tr>
      <w:tr w:rsidR="00FF5CF6" w:rsidRPr="007723B4" w:rsidTr="007723B4">
        <w:trPr>
          <w:cnfStyle w:val="000000100000"/>
          <w:trHeight w:val="234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6B7D25" w:rsidRPr="00771DDC" w:rsidRDefault="006B7D25" w:rsidP="007723B4">
            <w:pPr>
              <w:ind w:left="0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Path-Sharing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7D25" w:rsidRPr="00771DDC" w:rsidRDefault="001273DE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 xml:space="preserve">Blog posts intended to inform and share best practices with others </w:t>
            </w:r>
            <w:r w:rsidR="00FF7A18" w:rsidRPr="00771DDC">
              <w:rPr>
                <w:b/>
                <w:sz w:val="18"/>
              </w:rPr>
              <w:t>and/or</w:t>
            </w:r>
            <w:r w:rsidRPr="00771DDC">
              <w:rPr>
                <w:b/>
                <w:sz w:val="18"/>
              </w:rPr>
              <w:t xml:space="preserve"> that involve s</w:t>
            </w:r>
            <w:r w:rsidR="006B7D25" w:rsidRPr="00771DDC">
              <w:rPr>
                <w:b/>
                <w:sz w:val="18"/>
              </w:rPr>
              <w:t xml:space="preserve">haring experiences </w:t>
            </w:r>
            <w:r w:rsidRPr="00771DDC">
              <w:rPr>
                <w:b/>
                <w:sz w:val="18"/>
              </w:rPr>
              <w:t xml:space="preserve">of how they have learned within the network, </w:t>
            </w:r>
            <w:r w:rsidR="006B7D25" w:rsidRPr="00771DDC">
              <w:rPr>
                <w:b/>
                <w:sz w:val="18"/>
              </w:rPr>
              <w:t>and mentoring others on skills and knowledge required for path-finding and path-making</w:t>
            </w:r>
            <w:r w:rsidR="00FF7A18" w:rsidRPr="00771DDC">
              <w:rPr>
                <w:b/>
                <w:sz w:val="18"/>
              </w:rPr>
              <w:t>;</w:t>
            </w:r>
            <w:r w:rsidR="00D5610F" w:rsidRPr="00771DDC">
              <w:rPr>
                <w:b/>
                <w:sz w:val="18"/>
              </w:rPr>
              <w:t xml:space="preserve"> </w:t>
            </w:r>
          </w:p>
          <w:p w:rsidR="007723B4" w:rsidRPr="00771DDC" w:rsidRDefault="007723B4" w:rsidP="007723B4">
            <w:pPr>
              <w:ind w:left="0"/>
              <w:cnfStyle w:val="000000100000"/>
              <w:rPr>
                <w:b/>
                <w:sz w:val="18"/>
              </w:rPr>
            </w:pPr>
          </w:p>
        </w:tc>
      </w:tr>
      <w:tr w:rsidR="00FF5CF6" w:rsidRPr="007723B4" w:rsidTr="007723B4">
        <w:trPr>
          <w:trHeight w:val="1378"/>
        </w:trPr>
        <w:tc>
          <w:tcPr>
            <w:cnfStyle w:val="001000000000"/>
            <w:tcW w:w="156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6B7D25" w:rsidRPr="00771DDC" w:rsidRDefault="006B7D25" w:rsidP="007723B4">
            <w:pPr>
              <w:ind w:left="0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D25" w:rsidRPr="00771DDC" w:rsidRDefault="006B7D25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Sense-Giving</w:t>
            </w:r>
          </w:p>
        </w:tc>
        <w:tc>
          <w:tcPr>
            <w:tcW w:w="51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C0C" w:rsidRDefault="00FF7A18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involve p</w:t>
            </w:r>
            <w:r w:rsidR="006B7D25" w:rsidRPr="00771DDC">
              <w:rPr>
                <w:b/>
                <w:sz w:val="18"/>
              </w:rPr>
              <w:t>assing along experiences</w:t>
            </w:r>
            <w:r w:rsidR="00D5610F" w:rsidRPr="00771DDC">
              <w:rPr>
                <w:b/>
                <w:sz w:val="18"/>
              </w:rPr>
              <w:t xml:space="preserve"> and summary impressions</w:t>
            </w:r>
            <w:r w:rsidR="006B7D25" w:rsidRPr="00771DDC">
              <w:rPr>
                <w:b/>
                <w:sz w:val="18"/>
              </w:rPr>
              <w:t xml:space="preserve">, </w:t>
            </w:r>
            <w:r w:rsidRPr="00771DDC">
              <w:rPr>
                <w:b/>
                <w:sz w:val="18"/>
              </w:rPr>
              <w:t xml:space="preserve">or which demonstrate </w:t>
            </w:r>
            <w:r w:rsidR="006B7D25" w:rsidRPr="00771DDC">
              <w:rPr>
                <w:b/>
                <w:sz w:val="18"/>
              </w:rPr>
              <w:t xml:space="preserve">modeling skills, mentoring, reporting, exchanging ideas, </w:t>
            </w:r>
            <w:r w:rsidRPr="00771DDC">
              <w:rPr>
                <w:b/>
                <w:sz w:val="18"/>
              </w:rPr>
              <w:t xml:space="preserve">and </w:t>
            </w:r>
            <w:r w:rsidR="006B7D25" w:rsidRPr="00771DDC">
              <w:rPr>
                <w:b/>
                <w:sz w:val="18"/>
              </w:rPr>
              <w:t>acting as witness and observer and commenter</w:t>
            </w:r>
            <w:r w:rsidRPr="00771DDC">
              <w:rPr>
                <w:b/>
                <w:sz w:val="18"/>
              </w:rPr>
              <w:t>;</w:t>
            </w:r>
          </w:p>
          <w:p w:rsidR="00771DDC" w:rsidRDefault="00771DDC" w:rsidP="007723B4">
            <w:pPr>
              <w:ind w:left="0"/>
              <w:cnfStyle w:val="000000000000"/>
              <w:rPr>
                <w:b/>
                <w:sz w:val="18"/>
              </w:rPr>
            </w:pPr>
          </w:p>
          <w:p w:rsidR="00771DDC" w:rsidRDefault="00771DDC" w:rsidP="007723B4">
            <w:pPr>
              <w:ind w:left="0"/>
              <w:cnfStyle w:val="000000000000"/>
              <w:rPr>
                <w:b/>
                <w:sz w:val="18"/>
              </w:rPr>
            </w:pPr>
          </w:p>
          <w:p w:rsidR="00771DDC" w:rsidRDefault="00771DDC" w:rsidP="007723B4">
            <w:pPr>
              <w:ind w:left="0"/>
              <w:cnfStyle w:val="000000000000"/>
              <w:rPr>
                <w:b/>
                <w:sz w:val="18"/>
              </w:rPr>
            </w:pPr>
          </w:p>
          <w:p w:rsidR="00771DDC" w:rsidRDefault="00771DDC" w:rsidP="007723B4">
            <w:pPr>
              <w:ind w:left="0"/>
              <w:cnfStyle w:val="000000000000"/>
              <w:rPr>
                <w:b/>
                <w:sz w:val="18"/>
              </w:rPr>
            </w:pPr>
          </w:p>
          <w:p w:rsidR="00771DDC" w:rsidRDefault="00771DDC" w:rsidP="007723B4">
            <w:pPr>
              <w:ind w:left="0"/>
              <w:cnfStyle w:val="000000000000"/>
              <w:rPr>
                <w:b/>
                <w:sz w:val="18"/>
              </w:rPr>
            </w:pPr>
          </w:p>
          <w:p w:rsidR="00771DDC" w:rsidRPr="00771DDC" w:rsidRDefault="00771DDC" w:rsidP="007723B4">
            <w:pPr>
              <w:ind w:left="0"/>
              <w:cnfStyle w:val="000000000000"/>
              <w:rPr>
                <w:b/>
                <w:sz w:val="18"/>
              </w:rPr>
            </w:pPr>
          </w:p>
        </w:tc>
      </w:tr>
      <w:tr w:rsidR="007723B4" w:rsidRPr="00771DDC" w:rsidTr="007723B4">
        <w:trPr>
          <w:cnfStyle w:val="000000100000"/>
        </w:trPr>
        <w:tc>
          <w:tcPr>
            <w:cnfStyle w:val="001000000000"/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7723B4" w:rsidRPr="00771DDC" w:rsidRDefault="007723B4" w:rsidP="007723B4">
            <w:pPr>
              <w:ind w:left="0"/>
              <w:jc w:val="center"/>
              <w:rPr>
                <w:sz w:val="20"/>
              </w:rPr>
            </w:pPr>
            <w:r w:rsidRPr="00771DDC">
              <w:rPr>
                <w:sz w:val="20"/>
              </w:rPr>
              <w:lastRenderedPageBreak/>
              <w:t>VSM System</w:t>
            </w: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7723B4" w:rsidRPr="00771DDC" w:rsidRDefault="007723B4" w:rsidP="007723B4">
            <w:pPr>
              <w:ind w:left="0"/>
              <w:jc w:val="center"/>
              <w:cnfStyle w:val="000000100000"/>
              <w:rPr>
                <w:b/>
                <w:color w:val="FFFFFF" w:themeColor="background1"/>
                <w:sz w:val="20"/>
              </w:rPr>
            </w:pPr>
            <w:r w:rsidRPr="00771DDC">
              <w:rPr>
                <w:b/>
                <w:color w:val="FFFFFF" w:themeColor="background1"/>
                <w:sz w:val="20"/>
              </w:rPr>
              <w:t>Learning Processes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7723B4" w:rsidRPr="00771DDC" w:rsidRDefault="007723B4" w:rsidP="007723B4">
            <w:pPr>
              <w:ind w:left="0"/>
              <w:jc w:val="center"/>
              <w:cnfStyle w:val="000000100000"/>
              <w:rPr>
                <w:b/>
                <w:color w:val="FFFFFF" w:themeColor="background1"/>
                <w:sz w:val="20"/>
              </w:rPr>
            </w:pPr>
            <w:r w:rsidRPr="00771DDC">
              <w:rPr>
                <w:b/>
                <w:color w:val="FFFFFF" w:themeColor="background1"/>
                <w:sz w:val="20"/>
              </w:rPr>
              <w:t>Blogging*</w:t>
            </w:r>
          </w:p>
          <w:p w:rsidR="007723B4" w:rsidRPr="00771DDC" w:rsidRDefault="007723B4" w:rsidP="007723B4">
            <w:pPr>
              <w:ind w:left="0"/>
              <w:jc w:val="center"/>
              <w:cnfStyle w:val="000000100000"/>
              <w:rPr>
                <w:b/>
                <w:color w:val="FFFFFF" w:themeColor="background1"/>
                <w:sz w:val="20"/>
              </w:rPr>
            </w:pPr>
            <w:r w:rsidRPr="00771DDC">
              <w:rPr>
                <w:b/>
                <w:color w:val="FFFFFF" w:themeColor="background1"/>
                <w:sz w:val="20"/>
              </w:rPr>
              <w:t xml:space="preserve"> Activities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7723B4" w:rsidRPr="00771DDC" w:rsidRDefault="007723B4" w:rsidP="007723B4">
            <w:pPr>
              <w:ind w:left="0"/>
              <w:jc w:val="center"/>
              <w:cnfStyle w:val="000000100000"/>
              <w:rPr>
                <w:b/>
                <w:color w:val="FFFFFF" w:themeColor="background1"/>
                <w:sz w:val="20"/>
              </w:rPr>
            </w:pPr>
            <w:r w:rsidRPr="00771DDC">
              <w:rPr>
                <w:b/>
                <w:color w:val="FFFFFF" w:themeColor="background1"/>
                <w:sz w:val="20"/>
              </w:rPr>
              <w:t>Description</w:t>
            </w:r>
          </w:p>
        </w:tc>
      </w:tr>
      <w:tr w:rsidR="00FF5CF6" w:rsidRPr="00771DDC" w:rsidTr="007723B4">
        <w:trPr>
          <w:trHeight w:val="120"/>
        </w:trPr>
        <w:tc>
          <w:tcPr>
            <w:cnfStyle w:val="001000000000"/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F47" w:rsidRPr="00771DDC" w:rsidRDefault="00395F47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395F47" w:rsidRPr="00771DDC" w:rsidRDefault="00395F47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395F47" w:rsidRPr="00771DDC" w:rsidRDefault="00395F47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395F47" w:rsidRPr="00771DDC" w:rsidRDefault="00395F47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395F47" w:rsidRPr="00771DDC" w:rsidRDefault="00395F47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F9743E" w:rsidRPr="00771DDC" w:rsidRDefault="00F9743E" w:rsidP="007723B4">
            <w:pPr>
              <w:ind w:left="0"/>
              <w:jc w:val="center"/>
              <w:rPr>
                <w:sz w:val="18"/>
              </w:rPr>
            </w:pPr>
            <w:r w:rsidRPr="00771DDC">
              <w:rPr>
                <w:sz w:val="18"/>
              </w:rPr>
              <w:t>Coordinating</w:t>
            </w:r>
          </w:p>
          <w:p w:rsidR="00F9743E" w:rsidRPr="00771DDC" w:rsidRDefault="00F9743E" w:rsidP="007723B4">
            <w:pPr>
              <w:ind w:left="0"/>
              <w:jc w:val="center"/>
              <w:rPr>
                <w:bCs w:val="0"/>
                <w:sz w:val="18"/>
              </w:rPr>
            </w:pPr>
          </w:p>
          <w:p w:rsidR="00F9743E" w:rsidRPr="00771DDC" w:rsidRDefault="00F9743E" w:rsidP="007723B4">
            <w:pPr>
              <w:ind w:left="0"/>
              <w:jc w:val="center"/>
              <w:rPr>
                <w:sz w:val="18"/>
              </w:rPr>
            </w:pPr>
            <w:r w:rsidRPr="00771DDC">
              <w:rPr>
                <w:sz w:val="18"/>
              </w:rPr>
              <w:t>Monitoring</w:t>
            </w:r>
          </w:p>
          <w:p w:rsidR="00F9743E" w:rsidRPr="00771DDC" w:rsidRDefault="00F9743E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E45500" w:rsidRPr="00771DDC" w:rsidRDefault="00B159F4" w:rsidP="007723B4">
            <w:pPr>
              <w:ind w:left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(Within formal practice network</w:t>
            </w:r>
            <w:r w:rsidR="0075718E" w:rsidRPr="00771DDC">
              <w:rPr>
                <w:b w:val="0"/>
                <w:sz w:val="18"/>
              </w:rPr>
              <w:t>)</w:t>
            </w:r>
          </w:p>
          <w:p w:rsidR="00E45500" w:rsidRPr="00771DDC" w:rsidRDefault="00E45500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E45500" w:rsidRPr="00771DDC" w:rsidRDefault="00E45500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E45500" w:rsidRPr="00771DDC" w:rsidRDefault="00E45500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E45500" w:rsidRPr="00771DDC" w:rsidRDefault="00E45500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E45500" w:rsidRPr="00771DDC" w:rsidRDefault="00E45500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E45500" w:rsidRPr="00771DDC" w:rsidRDefault="00E45500" w:rsidP="007723B4">
            <w:pPr>
              <w:ind w:left="0"/>
              <w:jc w:val="center"/>
              <w:rPr>
                <w:b w:val="0"/>
                <w:sz w:val="18"/>
              </w:rPr>
            </w:pPr>
          </w:p>
          <w:p w:rsidR="00E45500" w:rsidRPr="00771DDC" w:rsidRDefault="00E45500" w:rsidP="007723B4">
            <w:pPr>
              <w:ind w:left="0"/>
              <w:jc w:val="center"/>
              <w:rPr>
                <w:b w:val="0"/>
                <w:sz w:val="18"/>
              </w:rPr>
            </w:pPr>
          </w:p>
        </w:tc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9743E" w:rsidRPr="00771DDC" w:rsidRDefault="00F9743E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Network Construction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Awareness</w:t>
            </w:r>
          </w:p>
        </w:tc>
        <w:tc>
          <w:tcPr>
            <w:tcW w:w="51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43E" w:rsidRPr="00771DDC" w:rsidRDefault="00B06E48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describe</w:t>
            </w:r>
            <w:r w:rsidR="00D5610F" w:rsidRPr="00771DDC">
              <w:rPr>
                <w:b/>
                <w:sz w:val="18"/>
              </w:rPr>
              <w:t xml:space="preserve"> personal impressions, </w:t>
            </w:r>
            <w:r w:rsidRPr="00771DDC">
              <w:rPr>
                <w:b/>
                <w:sz w:val="18"/>
              </w:rPr>
              <w:t xml:space="preserve">such as </w:t>
            </w:r>
            <w:r w:rsidR="00D5610F" w:rsidRPr="00771DDC">
              <w:rPr>
                <w:b/>
                <w:sz w:val="18"/>
              </w:rPr>
              <w:t xml:space="preserve">first impressions of network activity, </w:t>
            </w:r>
            <w:r w:rsidRPr="00771DDC">
              <w:rPr>
                <w:b/>
                <w:sz w:val="18"/>
              </w:rPr>
              <w:t xml:space="preserve">or </w:t>
            </w:r>
            <w:r w:rsidR="00D5610F" w:rsidRPr="00771DDC">
              <w:rPr>
                <w:b/>
                <w:sz w:val="18"/>
              </w:rPr>
              <w:t>expre</w:t>
            </w:r>
            <w:r w:rsidRPr="00771DDC">
              <w:rPr>
                <w:b/>
                <w:sz w:val="18"/>
              </w:rPr>
              <w:t xml:space="preserve">ssing concerns and ambivalence, or </w:t>
            </w:r>
            <w:r w:rsidR="00D5610F" w:rsidRPr="00771DDC">
              <w:rPr>
                <w:b/>
                <w:sz w:val="18"/>
              </w:rPr>
              <w:t>describing activities of s</w:t>
            </w:r>
            <w:r w:rsidR="00F9743E" w:rsidRPr="00771DDC">
              <w:rPr>
                <w:b/>
                <w:sz w:val="18"/>
              </w:rPr>
              <w:t xml:space="preserve">canning, reading, and reviewing of online resources, </w:t>
            </w:r>
            <w:r w:rsidRPr="00771DDC">
              <w:rPr>
                <w:b/>
                <w:sz w:val="18"/>
              </w:rPr>
              <w:t xml:space="preserve">or posts that involve </w:t>
            </w:r>
            <w:r w:rsidR="00F9743E" w:rsidRPr="00771DDC">
              <w:rPr>
                <w:b/>
                <w:sz w:val="18"/>
              </w:rPr>
              <w:t xml:space="preserve">identifying </w:t>
            </w:r>
            <w:r w:rsidRPr="00771DDC">
              <w:rPr>
                <w:b/>
                <w:sz w:val="18"/>
              </w:rPr>
              <w:t xml:space="preserve">learners’ </w:t>
            </w:r>
            <w:r w:rsidR="00F9743E" w:rsidRPr="00771DDC">
              <w:rPr>
                <w:b/>
                <w:sz w:val="18"/>
              </w:rPr>
              <w:t>gaps in skills and knowledge</w:t>
            </w:r>
            <w:r w:rsidRPr="00771DDC">
              <w:rPr>
                <w:b/>
                <w:sz w:val="18"/>
              </w:rPr>
              <w:t xml:space="preserve"> (self-identified or based on feedback);</w:t>
            </w:r>
          </w:p>
        </w:tc>
      </w:tr>
      <w:tr w:rsidR="00FF5CF6" w:rsidRPr="00771DDC" w:rsidTr="007723B4">
        <w:trPr>
          <w:cnfStyle w:val="000000100000"/>
          <w:trHeight w:val="120"/>
        </w:trPr>
        <w:tc>
          <w:tcPr>
            <w:cnfStyle w:val="001000000000"/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9743E" w:rsidRPr="00771DDC" w:rsidRDefault="00F9743E" w:rsidP="007723B4">
            <w:pPr>
              <w:ind w:left="0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Articulation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B06E48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involve e</w:t>
            </w:r>
            <w:r w:rsidR="00F9743E" w:rsidRPr="00771DDC">
              <w:rPr>
                <w:b/>
                <w:sz w:val="18"/>
              </w:rPr>
              <w:t>xplorations both within and beyond instructor’s blog, group blog, and peers’ blogs; descriptions of these initial explorations</w:t>
            </w:r>
            <w:r w:rsidR="00D5610F" w:rsidRPr="00771DDC">
              <w:rPr>
                <w:b/>
                <w:sz w:val="18"/>
              </w:rPr>
              <w:t xml:space="preserve"> and interactions with others; </w:t>
            </w:r>
            <w:r w:rsidRPr="00771DDC">
              <w:rPr>
                <w:b/>
                <w:sz w:val="18"/>
              </w:rPr>
              <w:t>posts that also include</w:t>
            </w:r>
            <w:r w:rsidR="00D5610F" w:rsidRPr="00771DDC">
              <w:rPr>
                <w:b/>
                <w:sz w:val="18"/>
              </w:rPr>
              <w:t xml:space="preserve"> discoveries and observations of others’ networking activities, and conclusions impacting one’s own practice</w:t>
            </w:r>
          </w:p>
        </w:tc>
      </w:tr>
      <w:tr w:rsidR="00FF5CF6" w:rsidRPr="00771DDC" w:rsidTr="007723B4">
        <w:trPr>
          <w:trHeight w:val="120"/>
        </w:trPr>
        <w:tc>
          <w:tcPr>
            <w:cnfStyle w:val="001000000000"/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9743E" w:rsidRPr="00771DDC" w:rsidRDefault="00F9743E" w:rsidP="007723B4">
            <w:pPr>
              <w:ind w:left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Aggregate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B06E48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b</w:t>
            </w:r>
            <w:r w:rsidR="00F9743E" w:rsidRPr="00771DDC">
              <w:rPr>
                <w:b/>
                <w:sz w:val="18"/>
              </w:rPr>
              <w:t>ring together content, links, profiles and identify usage patterns</w:t>
            </w:r>
            <w:r w:rsidR="00D5610F" w:rsidRPr="00771DDC">
              <w:rPr>
                <w:b/>
                <w:sz w:val="18"/>
              </w:rPr>
              <w:t xml:space="preserve">; use of </w:t>
            </w:r>
            <w:r w:rsidR="00D9717C" w:rsidRPr="00771DDC">
              <w:rPr>
                <w:b/>
                <w:sz w:val="18"/>
              </w:rPr>
              <w:t xml:space="preserve">Delicious bookmarks, </w:t>
            </w:r>
            <w:r w:rsidR="00664037" w:rsidRPr="00771DDC">
              <w:rPr>
                <w:b/>
                <w:sz w:val="18"/>
              </w:rPr>
              <w:t>RSS</w:t>
            </w:r>
            <w:r w:rsidR="00D5610F" w:rsidRPr="00771DDC">
              <w:rPr>
                <w:b/>
                <w:sz w:val="18"/>
              </w:rPr>
              <w:t xml:space="preserve"> feed aggregators; creation of blog-rolls, tag clouds, collections, groups, followers lists within several </w:t>
            </w:r>
            <w:r w:rsidRPr="00771DDC">
              <w:rPr>
                <w:b/>
                <w:sz w:val="18"/>
              </w:rPr>
              <w:t xml:space="preserve">social </w:t>
            </w:r>
            <w:r w:rsidR="00D5610F" w:rsidRPr="00771DDC">
              <w:rPr>
                <w:b/>
                <w:sz w:val="18"/>
              </w:rPr>
              <w:t xml:space="preserve">networks such as Twitter, </w:t>
            </w:r>
            <w:r w:rsidRPr="00771DDC">
              <w:rPr>
                <w:b/>
                <w:sz w:val="18"/>
              </w:rPr>
              <w:t>LinkedIn, etc.</w:t>
            </w:r>
          </w:p>
        </w:tc>
      </w:tr>
      <w:tr w:rsidR="00FF5CF6" w:rsidRPr="00771DDC" w:rsidTr="007723B4">
        <w:trPr>
          <w:cnfStyle w:val="000000100000"/>
          <w:trHeight w:val="120"/>
        </w:trPr>
        <w:tc>
          <w:tcPr>
            <w:cnfStyle w:val="001000000000"/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9743E" w:rsidRPr="00771DDC" w:rsidRDefault="00F9743E" w:rsidP="007723B4">
            <w:pPr>
              <w:ind w:left="0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Re-Use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B06E48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involves re-examining</w:t>
            </w:r>
            <w:r w:rsidR="00F9743E" w:rsidRPr="00771DDC">
              <w:rPr>
                <w:b/>
                <w:sz w:val="18"/>
              </w:rPr>
              <w:t>, culling, filtering, re-organizing,</w:t>
            </w:r>
            <w:r w:rsidRPr="00771DDC">
              <w:rPr>
                <w:b/>
                <w:sz w:val="18"/>
              </w:rPr>
              <w:t xml:space="preserve"> or</w:t>
            </w:r>
            <w:r w:rsidR="00F9743E" w:rsidRPr="00771DDC">
              <w:rPr>
                <w:b/>
                <w:sz w:val="18"/>
              </w:rPr>
              <w:t xml:space="preserve"> revising </w:t>
            </w:r>
            <w:r w:rsidRPr="00771DDC">
              <w:rPr>
                <w:b/>
                <w:sz w:val="18"/>
              </w:rPr>
              <w:t>of earlier, archived blog posts,</w:t>
            </w:r>
            <w:r w:rsidR="00F9743E" w:rsidRPr="00771DDC">
              <w:rPr>
                <w:b/>
                <w:sz w:val="18"/>
              </w:rPr>
              <w:t xml:space="preserve"> feeds, </w:t>
            </w:r>
            <w:r w:rsidRPr="00771DDC">
              <w:rPr>
                <w:b/>
                <w:sz w:val="18"/>
              </w:rPr>
              <w:t xml:space="preserve">and </w:t>
            </w:r>
            <w:r w:rsidR="00F9743E" w:rsidRPr="00771DDC">
              <w:rPr>
                <w:b/>
                <w:sz w:val="18"/>
              </w:rPr>
              <w:t>comments; may involve return to drafts or readings, weaving emails or work from assignments into new blog posts</w:t>
            </w:r>
            <w:r w:rsidR="00D5610F" w:rsidRPr="00771DDC">
              <w:rPr>
                <w:b/>
                <w:sz w:val="18"/>
              </w:rPr>
              <w:t xml:space="preserve">; </w:t>
            </w:r>
            <w:r w:rsidRPr="00771DDC">
              <w:rPr>
                <w:b/>
                <w:sz w:val="18"/>
              </w:rPr>
              <w:t xml:space="preserve">or </w:t>
            </w:r>
            <w:r w:rsidR="00D5610F" w:rsidRPr="00771DDC">
              <w:rPr>
                <w:b/>
                <w:sz w:val="18"/>
              </w:rPr>
              <w:t>re-circulating updated posts and content</w:t>
            </w:r>
            <w:r w:rsidRPr="00771DDC">
              <w:rPr>
                <w:b/>
                <w:sz w:val="18"/>
              </w:rPr>
              <w:t>;</w:t>
            </w:r>
          </w:p>
        </w:tc>
      </w:tr>
      <w:tr w:rsidR="00FF5CF6" w:rsidRPr="00771DDC" w:rsidTr="007723B4">
        <w:trPr>
          <w:trHeight w:val="120"/>
        </w:trPr>
        <w:tc>
          <w:tcPr>
            <w:cnfStyle w:val="001000000000"/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9743E" w:rsidRPr="00771DDC" w:rsidRDefault="00F9743E" w:rsidP="007723B4">
            <w:pPr>
              <w:ind w:left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Re-Mix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B06E48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which d</w:t>
            </w:r>
            <w:r w:rsidR="00F9743E" w:rsidRPr="00771DDC">
              <w:rPr>
                <w:b/>
                <w:sz w:val="18"/>
              </w:rPr>
              <w:t>raw ideas from multiple sources, and summarize, analyze and report on ideas</w:t>
            </w:r>
            <w:r w:rsidR="00D9717C" w:rsidRPr="00771DDC">
              <w:rPr>
                <w:b/>
                <w:sz w:val="18"/>
              </w:rPr>
              <w:t xml:space="preserve">; </w:t>
            </w:r>
            <w:r w:rsidRPr="00771DDC">
              <w:rPr>
                <w:b/>
                <w:sz w:val="18"/>
              </w:rPr>
              <w:t xml:space="preserve">learners’ posts may also </w:t>
            </w:r>
            <w:r w:rsidR="00D9717C" w:rsidRPr="00771DDC">
              <w:rPr>
                <w:b/>
                <w:sz w:val="18"/>
              </w:rPr>
              <w:t>draw from own archived content to re-visit old themes and topics for further elaboration</w:t>
            </w:r>
            <w:r w:rsidRPr="00771DDC">
              <w:rPr>
                <w:b/>
                <w:sz w:val="18"/>
              </w:rPr>
              <w:t>;</w:t>
            </w:r>
          </w:p>
          <w:p w:rsidR="00B06E48" w:rsidRPr="00771DDC" w:rsidRDefault="00B06E48" w:rsidP="007723B4">
            <w:pPr>
              <w:ind w:left="0"/>
              <w:cnfStyle w:val="000000000000"/>
              <w:rPr>
                <w:b/>
                <w:sz w:val="18"/>
              </w:rPr>
            </w:pPr>
          </w:p>
        </w:tc>
      </w:tr>
      <w:tr w:rsidR="00FF5CF6" w:rsidRPr="00771DDC" w:rsidTr="007723B4">
        <w:trPr>
          <w:cnfStyle w:val="000000100000"/>
          <w:trHeight w:val="120"/>
        </w:trPr>
        <w:tc>
          <w:tcPr>
            <w:cnfStyle w:val="001000000000"/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9743E" w:rsidRPr="00771DDC" w:rsidRDefault="00F9743E" w:rsidP="007723B4">
            <w:pPr>
              <w:ind w:left="0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Feed-Forward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B06E48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involve sharing and</w:t>
            </w:r>
            <w:r w:rsidR="00F9743E" w:rsidRPr="00771DDC">
              <w:rPr>
                <w:b/>
                <w:sz w:val="18"/>
              </w:rPr>
              <w:t xml:space="preserve"> exchanging </w:t>
            </w:r>
            <w:r w:rsidRPr="00771DDC">
              <w:rPr>
                <w:b/>
                <w:sz w:val="18"/>
              </w:rPr>
              <w:t xml:space="preserve">of </w:t>
            </w:r>
            <w:r w:rsidR="00F9743E" w:rsidRPr="00771DDC">
              <w:rPr>
                <w:b/>
                <w:sz w:val="18"/>
              </w:rPr>
              <w:t xml:space="preserve">blog-rolls, RSS feeds, </w:t>
            </w:r>
            <w:r w:rsidRPr="00771DDC">
              <w:rPr>
                <w:b/>
                <w:sz w:val="18"/>
              </w:rPr>
              <w:t>and bookmarks</w:t>
            </w:r>
            <w:r w:rsidR="00F9743E" w:rsidRPr="00771DDC">
              <w:rPr>
                <w:b/>
                <w:sz w:val="18"/>
              </w:rPr>
              <w:t xml:space="preserve"> to various audiences, </w:t>
            </w:r>
            <w:r w:rsidRPr="00771DDC">
              <w:rPr>
                <w:b/>
                <w:sz w:val="18"/>
              </w:rPr>
              <w:t>as well as re-tweeting and</w:t>
            </w:r>
            <w:r w:rsidR="00F9743E" w:rsidRPr="00771DDC">
              <w:rPr>
                <w:b/>
                <w:sz w:val="18"/>
              </w:rPr>
              <w:t xml:space="preserve"> expanding followers/following lists</w:t>
            </w:r>
          </w:p>
        </w:tc>
      </w:tr>
      <w:tr w:rsidR="00FF5CF6" w:rsidRPr="00771DDC" w:rsidTr="007723B4">
        <w:trPr>
          <w:trHeight w:val="780"/>
        </w:trPr>
        <w:tc>
          <w:tcPr>
            <w:cnfStyle w:val="001000000000"/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9743E" w:rsidRPr="00771DDC" w:rsidRDefault="00F9743E" w:rsidP="007723B4">
            <w:pPr>
              <w:ind w:left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F9743E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Process Capture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F9743E" w:rsidRPr="00771DDC" w:rsidRDefault="00B06E48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demonstrate s</w:t>
            </w:r>
            <w:r w:rsidR="00F9743E" w:rsidRPr="00771DDC">
              <w:rPr>
                <w:b/>
                <w:sz w:val="18"/>
              </w:rPr>
              <w:t xml:space="preserve">ystematic recording of </w:t>
            </w:r>
            <w:r w:rsidRPr="00771DDC">
              <w:rPr>
                <w:b/>
                <w:sz w:val="18"/>
              </w:rPr>
              <w:t xml:space="preserve">learners’ </w:t>
            </w:r>
            <w:r w:rsidR="00F9743E" w:rsidRPr="00771DDC">
              <w:rPr>
                <w:b/>
                <w:sz w:val="18"/>
              </w:rPr>
              <w:t>thought processes and ideas using multi-</w:t>
            </w:r>
            <w:r w:rsidRPr="00771DDC">
              <w:rPr>
                <w:b/>
                <w:sz w:val="18"/>
              </w:rPr>
              <w:t>modal posts, such as</w:t>
            </w:r>
            <w:r w:rsidR="00A153A9" w:rsidRPr="00771DDC">
              <w:rPr>
                <w:b/>
                <w:sz w:val="18"/>
              </w:rPr>
              <w:t xml:space="preserve"> use of scanned notes, concept maps, </w:t>
            </w:r>
            <w:r w:rsidRPr="00771DDC">
              <w:rPr>
                <w:b/>
                <w:sz w:val="18"/>
              </w:rPr>
              <w:t xml:space="preserve">embedded videos, documents, slide presentations, </w:t>
            </w:r>
            <w:r w:rsidR="00A153A9" w:rsidRPr="00771DDC">
              <w:rPr>
                <w:b/>
                <w:sz w:val="18"/>
              </w:rPr>
              <w:t xml:space="preserve">rich pictures, </w:t>
            </w:r>
            <w:r w:rsidR="00F929D8" w:rsidRPr="00771DDC">
              <w:rPr>
                <w:b/>
                <w:sz w:val="18"/>
              </w:rPr>
              <w:t>and podcasts</w:t>
            </w:r>
            <w:r w:rsidR="00A153A9" w:rsidRPr="00771DDC">
              <w:rPr>
                <w:b/>
                <w:sz w:val="18"/>
              </w:rPr>
              <w:t>;</w:t>
            </w:r>
          </w:p>
        </w:tc>
      </w:tr>
      <w:tr w:rsidR="00FF5CF6" w:rsidRPr="00771DDC" w:rsidTr="007723B4">
        <w:trPr>
          <w:cnfStyle w:val="000000100000"/>
          <w:trHeight w:val="120"/>
        </w:trPr>
        <w:tc>
          <w:tcPr>
            <w:cnfStyle w:val="001000000000"/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5CF6" w:rsidRPr="00771DDC" w:rsidRDefault="00FF5CF6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F5CF6" w:rsidRPr="00771DDC" w:rsidRDefault="00FF5CF6" w:rsidP="007723B4">
            <w:pPr>
              <w:ind w:left="0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F5CF6" w:rsidRPr="00771DDC" w:rsidRDefault="00FF5CF6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Product Creation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FF5CF6" w:rsidRPr="00771DDC" w:rsidRDefault="00F929D8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Blog posts that map the progression of the learners’ p</w:t>
            </w:r>
            <w:r w:rsidR="00FF5CF6" w:rsidRPr="00771DDC">
              <w:rPr>
                <w:b/>
                <w:sz w:val="18"/>
              </w:rPr>
              <w:t>reparation, planning, and performing of learning events, reflections on practice</w:t>
            </w:r>
            <w:r w:rsidRPr="00771DDC">
              <w:rPr>
                <w:b/>
                <w:sz w:val="18"/>
              </w:rPr>
              <w:t>, or the</w:t>
            </w:r>
            <w:r w:rsidR="00FF5CF6" w:rsidRPr="00771DDC">
              <w:rPr>
                <w:b/>
                <w:sz w:val="18"/>
              </w:rPr>
              <w:t xml:space="preserve"> development of </w:t>
            </w:r>
            <w:r w:rsidRPr="00771DDC">
              <w:rPr>
                <w:b/>
                <w:sz w:val="18"/>
              </w:rPr>
              <w:t xml:space="preserve">the </w:t>
            </w:r>
            <w:r w:rsidR="00FF5CF6" w:rsidRPr="00771DDC">
              <w:rPr>
                <w:b/>
                <w:sz w:val="18"/>
              </w:rPr>
              <w:t>learner</w:t>
            </w:r>
            <w:r w:rsidRPr="00771DDC">
              <w:rPr>
                <w:b/>
                <w:sz w:val="18"/>
              </w:rPr>
              <w:t>s’</w:t>
            </w:r>
            <w:r w:rsidR="00FF5CF6" w:rsidRPr="00771DDC">
              <w:rPr>
                <w:b/>
                <w:sz w:val="18"/>
              </w:rPr>
              <w:t xml:space="preserve"> e-portfolio</w:t>
            </w:r>
            <w:r w:rsidRPr="00771DDC">
              <w:rPr>
                <w:b/>
                <w:sz w:val="18"/>
              </w:rPr>
              <w:t>s</w:t>
            </w:r>
          </w:p>
        </w:tc>
      </w:tr>
      <w:tr w:rsidR="00FF5CF6" w:rsidRPr="00771DDC" w:rsidTr="007723B4">
        <w:trPr>
          <w:trHeight w:val="120"/>
        </w:trPr>
        <w:tc>
          <w:tcPr>
            <w:cnfStyle w:val="001000000000"/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5CF6" w:rsidRPr="00771DDC" w:rsidRDefault="00FF5CF6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F5CF6" w:rsidRPr="00771DDC" w:rsidRDefault="00FF5CF6" w:rsidP="007723B4">
            <w:pPr>
              <w:ind w:left="0"/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F5CF6" w:rsidRPr="00771DDC" w:rsidRDefault="00FF5CF6" w:rsidP="007723B4">
            <w:pPr>
              <w:ind w:left="0"/>
              <w:jc w:val="center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Maintenance</w:t>
            </w:r>
          </w:p>
        </w:tc>
        <w:tc>
          <w:tcPr>
            <w:tcW w:w="5137" w:type="dxa"/>
            <w:tcBorders>
              <w:left w:val="single" w:sz="18" w:space="0" w:color="auto"/>
              <w:right w:val="single" w:sz="18" w:space="0" w:color="auto"/>
            </w:tcBorders>
          </w:tcPr>
          <w:p w:rsidR="00FF5CF6" w:rsidRPr="00771DDC" w:rsidRDefault="00F929D8" w:rsidP="007723B4">
            <w:pPr>
              <w:ind w:left="0"/>
              <w:cnfStyle w:val="0000000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R</w:t>
            </w:r>
            <w:r w:rsidR="00FF5CF6" w:rsidRPr="00771DDC">
              <w:rPr>
                <w:b/>
                <w:sz w:val="18"/>
              </w:rPr>
              <w:t>e-post</w:t>
            </w:r>
            <w:r w:rsidRPr="00771DDC">
              <w:rPr>
                <w:b/>
                <w:sz w:val="18"/>
              </w:rPr>
              <w:t>ing of older content to maintain</w:t>
            </w:r>
            <w:r w:rsidR="00FF5CF6" w:rsidRPr="00771DDC">
              <w:rPr>
                <w:b/>
                <w:sz w:val="18"/>
              </w:rPr>
              <w:t xml:space="preserve"> currency; </w:t>
            </w:r>
            <w:r w:rsidRPr="00771DDC">
              <w:rPr>
                <w:b/>
                <w:sz w:val="18"/>
              </w:rPr>
              <w:t xml:space="preserve">blog posts that describe the process of </w:t>
            </w:r>
            <w:r w:rsidR="00FF5CF6" w:rsidRPr="00771DDC">
              <w:rPr>
                <w:b/>
                <w:sz w:val="18"/>
              </w:rPr>
              <w:t>monitor</w:t>
            </w:r>
            <w:r w:rsidRPr="00771DDC">
              <w:rPr>
                <w:b/>
                <w:sz w:val="18"/>
              </w:rPr>
              <w:t>ing of</w:t>
            </w:r>
            <w:r w:rsidR="00FF5CF6" w:rsidRPr="00771DDC">
              <w:rPr>
                <w:b/>
                <w:sz w:val="18"/>
              </w:rPr>
              <w:t xml:space="preserve"> blog site analytics, </w:t>
            </w:r>
            <w:r w:rsidRPr="00771DDC">
              <w:rPr>
                <w:b/>
                <w:sz w:val="18"/>
              </w:rPr>
              <w:t>including the revision and deletion of sites and</w:t>
            </w:r>
            <w:r w:rsidR="00FF5CF6" w:rsidRPr="00771DDC">
              <w:rPr>
                <w:b/>
                <w:sz w:val="18"/>
              </w:rPr>
              <w:t xml:space="preserve"> links, </w:t>
            </w:r>
            <w:r w:rsidRPr="00771DDC">
              <w:rPr>
                <w:b/>
                <w:sz w:val="18"/>
              </w:rPr>
              <w:t xml:space="preserve">or the </w:t>
            </w:r>
            <w:r w:rsidR="00FF5CF6" w:rsidRPr="00771DDC">
              <w:rPr>
                <w:b/>
                <w:sz w:val="18"/>
              </w:rPr>
              <w:t>cull</w:t>
            </w:r>
            <w:r w:rsidRPr="00771DDC">
              <w:rPr>
                <w:b/>
                <w:sz w:val="18"/>
              </w:rPr>
              <w:t>ing of</w:t>
            </w:r>
            <w:r w:rsidR="00FF5CF6" w:rsidRPr="00771DDC">
              <w:rPr>
                <w:b/>
                <w:sz w:val="18"/>
              </w:rPr>
              <w:t xml:space="preserve"> inactive RSS feeds; </w:t>
            </w:r>
          </w:p>
        </w:tc>
      </w:tr>
      <w:tr w:rsidR="00FF5CF6" w:rsidRPr="00771DDC" w:rsidTr="007723B4">
        <w:trPr>
          <w:cnfStyle w:val="000000100000"/>
          <w:trHeight w:val="80"/>
        </w:trPr>
        <w:tc>
          <w:tcPr>
            <w:cnfStyle w:val="001000000000"/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FF5CF6" w:rsidRPr="00771DDC" w:rsidRDefault="00FF5CF6" w:rsidP="007723B4">
            <w:pPr>
              <w:ind w:left="0"/>
              <w:rPr>
                <w:b w:val="0"/>
                <w:sz w:val="18"/>
              </w:rPr>
            </w:pPr>
          </w:p>
        </w:tc>
        <w:tc>
          <w:tcPr>
            <w:tcW w:w="1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F5CF6" w:rsidRPr="00771DDC" w:rsidRDefault="00FF5CF6" w:rsidP="007723B4">
            <w:pPr>
              <w:ind w:left="0"/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CF6" w:rsidRPr="00771DDC" w:rsidRDefault="00FF5CF6" w:rsidP="007723B4">
            <w:pPr>
              <w:ind w:left="0"/>
              <w:jc w:val="center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>Review</w:t>
            </w:r>
          </w:p>
        </w:tc>
        <w:tc>
          <w:tcPr>
            <w:tcW w:w="51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CF6" w:rsidRPr="00771DDC" w:rsidRDefault="00F929D8" w:rsidP="007723B4">
            <w:pPr>
              <w:ind w:left="0"/>
              <w:cnfStyle w:val="000000100000"/>
              <w:rPr>
                <w:b/>
                <w:sz w:val="18"/>
              </w:rPr>
            </w:pPr>
            <w:r w:rsidRPr="00771DDC">
              <w:rPr>
                <w:b/>
                <w:sz w:val="18"/>
              </w:rPr>
              <w:t xml:space="preserve">Blog posts that demonstrate post-performance summaries or </w:t>
            </w:r>
            <w:r w:rsidR="00FF5CF6" w:rsidRPr="00771DDC">
              <w:rPr>
                <w:b/>
                <w:sz w:val="18"/>
              </w:rPr>
              <w:t>critiques, summary reflections</w:t>
            </w:r>
            <w:r w:rsidRPr="00771DDC">
              <w:rPr>
                <w:b/>
                <w:sz w:val="18"/>
              </w:rPr>
              <w:t xml:space="preserve"> and</w:t>
            </w:r>
            <w:r w:rsidR="00FF5CF6" w:rsidRPr="00771DDC">
              <w:rPr>
                <w:b/>
                <w:sz w:val="18"/>
              </w:rPr>
              <w:t xml:space="preserve"> review</w:t>
            </w:r>
            <w:r w:rsidRPr="00771DDC">
              <w:rPr>
                <w:b/>
                <w:sz w:val="18"/>
              </w:rPr>
              <w:t>s</w:t>
            </w:r>
            <w:r w:rsidR="00FF5CF6" w:rsidRPr="00771DDC">
              <w:rPr>
                <w:b/>
                <w:sz w:val="18"/>
              </w:rPr>
              <w:t xml:space="preserve"> </w:t>
            </w:r>
            <w:r w:rsidRPr="00771DDC">
              <w:rPr>
                <w:b/>
                <w:sz w:val="18"/>
              </w:rPr>
              <w:t xml:space="preserve">of the learners’ overall </w:t>
            </w:r>
            <w:r w:rsidR="00FF5CF6" w:rsidRPr="00771DDC">
              <w:rPr>
                <w:b/>
                <w:sz w:val="18"/>
              </w:rPr>
              <w:t xml:space="preserve">site activities;  </w:t>
            </w:r>
          </w:p>
        </w:tc>
      </w:tr>
    </w:tbl>
    <w:p w:rsidR="00541053" w:rsidRPr="00771DDC" w:rsidRDefault="00541053" w:rsidP="004968EF">
      <w:pPr>
        <w:ind w:left="0"/>
        <w:jc w:val="center"/>
        <w:rPr>
          <w:b/>
          <w:sz w:val="24"/>
        </w:rPr>
      </w:pPr>
    </w:p>
    <w:sectPr w:rsidR="00541053" w:rsidRPr="00771DDC" w:rsidSect="00F9743E">
      <w:headerReference w:type="default" r:id="rId6"/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67" w:rsidRDefault="007D3F67" w:rsidP="00152C52">
      <w:r>
        <w:separator/>
      </w:r>
    </w:p>
  </w:endnote>
  <w:endnote w:type="continuationSeparator" w:id="0">
    <w:p w:rsidR="007D3F67" w:rsidRDefault="007D3F67" w:rsidP="0015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67" w:rsidRDefault="007D3F67" w:rsidP="00152C52">
      <w:r>
        <w:separator/>
      </w:r>
    </w:p>
  </w:footnote>
  <w:footnote w:type="continuationSeparator" w:id="0">
    <w:p w:rsidR="007D3F67" w:rsidRDefault="007D3F67" w:rsidP="00152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52C52">
      <w:trPr>
        <w:trHeight w:val="288"/>
      </w:trPr>
      <w:tc>
        <w:tcPr>
          <w:tcW w:w="7765" w:type="dxa"/>
        </w:tcPr>
        <w:p w:rsidR="00152C52" w:rsidRDefault="00152C52" w:rsidP="00152C5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111E67C31CE8429EA2114FF43A69E64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Academic Blogging Processes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195581E7CC94BAB9E1ACB10BBF620B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52C52" w:rsidRDefault="00152C52" w:rsidP="00152C52">
              <w:pPr>
                <w:pStyle w:val="Header"/>
                <w:tabs>
                  <w:tab w:val="clear" w:pos="4680"/>
                  <w:tab w:val="clear" w:pos="9360"/>
                  <w:tab w:val="right" w:pos="965"/>
                </w:tabs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[Year]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ab/>
              </w:r>
            </w:p>
          </w:tc>
        </w:sdtContent>
      </w:sdt>
    </w:tr>
  </w:tbl>
  <w:p w:rsidR="00152C52" w:rsidRDefault="00152C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62"/>
    <w:rsid w:val="00060F88"/>
    <w:rsid w:val="000B50B6"/>
    <w:rsid w:val="000D0D7C"/>
    <w:rsid w:val="001273DE"/>
    <w:rsid w:val="00136ADC"/>
    <w:rsid w:val="00152C52"/>
    <w:rsid w:val="001563DD"/>
    <w:rsid w:val="00172521"/>
    <w:rsid w:val="00191BEE"/>
    <w:rsid w:val="001A5949"/>
    <w:rsid w:val="001D53D4"/>
    <w:rsid w:val="001E5167"/>
    <w:rsid w:val="001E569B"/>
    <w:rsid w:val="00236423"/>
    <w:rsid w:val="00395F47"/>
    <w:rsid w:val="00410C0C"/>
    <w:rsid w:val="00425559"/>
    <w:rsid w:val="00493537"/>
    <w:rsid w:val="004968EF"/>
    <w:rsid w:val="004E2B60"/>
    <w:rsid w:val="005244E1"/>
    <w:rsid w:val="00541053"/>
    <w:rsid w:val="00543AFD"/>
    <w:rsid w:val="0058318B"/>
    <w:rsid w:val="00664037"/>
    <w:rsid w:val="006A2F27"/>
    <w:rsid w:val="006B7D25"/>
    <w:rsid w:val="006F4450"/>
    <w:rsid w:val="0075718E"/>
    <w:rsid w:val="00771DDC"/>
    <w:rsid w:val="007723B4"/>
    <w:rsid w:val="007B79A9"/>
    <w:rsid w:val="007D3F67"/>
    <w:rsid w:val="008C16A9"/>
    <w:rsid w:val="00A153A9"/>
    <w:rsid w:val="00A4058A"/>
    <w:rsid w:val="00AD47CB"/>
    <w:rsid w:val="00B06E48"/>
    <w:rsid w:val="00B159F4"/>
    <w:rsid w:val="00BF1062"/>
    <w:rsid w:val="00C3192E"/>
    <w:rsid w:val="00CE09A4"/>
    <w:rsid w:val="00D24995"/>
    <w:rsid w:val="00D52220"/>
    <w:rsid w:val="00D5610F"/>
    <w:rsid w:val="00D7418E"/>
    <w:rsid w:val="00D9717C"/>
    <w:rsid w:val="00DF4954"/>
    <w:rsid w:val="00E02772"/>
    <w:rsid w:val="00E42D9D"/>
    <w:rsid w:val="00E45500"/>
    <w:rsid w:val="00F929D8"/>
    <w:rsid w:val="00F9743E"/>
    <w:rsid w:val="00FF5CF6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0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B7D2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1">
    <w:name w:val="Light List1"/>
    <w:basedOn w:val="TableNormal"/>
    <w:uiPriority w:val="61"/>
    <w:rsid w:val="006B7D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B7D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B7D2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6B7D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9743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C52"/>
  </w:style>
  <w:style w:type="paragraph" w:styleId="Footer">
    <w:name w:val="footer"/>
    <w:basedOn w:val="Normal"/>
    <w:link w:val="FooterChar"/>
    <w:uiPriority w:val="99"/>
    <w:semiHidden/>
    <w:unhideWhenUsed/>
    <w:rsid w:val="0015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C52"/>
  </w:style>
  <w:style w:type="paragraph" w:styleId="BalloonText">
    <w:name w:val="Balloon Text"/>
    <w:basedOn w:val="Normal"/>
    <w:link w:val="BalloonTextChar"/>
    <w:uiPriority w:val="99"/>
    <w:semiHidden/>
    <w:unhideWhenUsed/>
    <w:rsid w:val="0015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E67C31CE8429EA2114FF43A69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57F-A9F8-4640-BFBD-7C0AE71FE98E}"/>
      </w:docPartPr>
      <w:docPartBody>
        <w:p w:rsidR="00000000" w:rsidRDefault="00137857" w:rsidP="00137857">
          <w:pPr>
            <w:pStyle w:val="111E67C31CE8429EA2114FF43A69E6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195581E7CC94BAB9E1ACB10BBF6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6187-30EB-49FD-82EE-160F73E83BC2}"/>
      </w:docPartPr>
      <w:docPartBody>
        <w:p w:rsidR="00000000" w:rsidRDefault="00137857" w:rsidP="00137857">
          <w:pPr>
            <w:pStyle w:val="0195581E7CC94BAB9E1ACB10BBF620B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37857"/>
    <w:rsid w:val="00137857"/>
    <w:rsid w:val="0093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66035070C4B2DADB1D64F502F4857">
    <w:name w:val="32F66035070C4B2DADB1D64F502F4857"/>
    <w:rsid w:val="00137857"/>
  </w:style>
  <w:style w:type="paragraph" w:customStyle="1" w:styleId="60F21E2DBCF04D798958BEC8984C9F72">
    <w:name w:val="60F21E2DBCF04D798958BEC8984C9F72"/>
    <w:rsid w:val="00137857"/>
  </w:style>
  <w:style w:type="paragraph" w:customStyle="1" w:styleId="111E67C31CE8429EA2114FF43A69E647">
    <w:name w:val="111E67C31CE8429EA2114FF43A69E647"/>
    <w:rsid w:val="00137857"/>
  </w:style>
  <w:style w:type="paragraph" w:customStyle="1" w:styleId="0195581E7CC94BAB9E1ACB10BBF620B9">
    <w:name w:val="0195581E7CC94BAB9E1ACB10BBF620B9"/>
    <w:rsid w:val="001378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Blogging Processes</dc:title>
  <dc:subject/>
  <dc:creator>Glenn</dc:creator>
  <cp:keywords/>
  <dc:description/>
  <cp:lastModifiedBy>Glenn</cp:lastModifiedBy>
  <cp:revision>27</cp:revision>
  <dcterms:created xsi:type="dcterms:W3CDTF">2010-06-06T20:01:00Z</dcterms:created>
  <dcterms:modified xsi:type="dcterms:W3CDTF">2010-08-27T00:22:00Z</dcterms:modified>
</cp:coreProperties>
</file>